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2">
      <w:pPr>
        <w:pStyle w:val="Heading1"/>
        <w:spacing w:after="0" w:before="0" w:lineRule="auto"/>
        <w:rPr>
          <w:rFonts w:ascii="Calibri" w:cs="Calibri" w:eastAsia="Calibri" w:hAnsi="Calibri"/>
          <w:sz w:val="72"/>
          <w:szCs w:val="72"/>
        </w:rPr>
      </w:pPr>
      <w:r w:rsidDel="00000000" w:rsidR="00000000" w:rsidRPr="00000000">
        <w:rPr>
          <w:rFonts w:ascii="Calibri" w:cs="Calibri" w:eastAsia="Calibri" w:hAnsi="Calibri"/>
          <w:sz w:val="72"/>
          <w:szCs w:val="72"/>
        </w:rPr>
        <w:drawing>
          <wp:inline distB="114300" distT="114300" distL="114300" distR="114300">
            <wp:extent cx="2247900" cy="10287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79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spacing w:after="0" w:before="0" w:lineRule="auto"/>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4">
      <w:pPr>
        <w:pStyle w:val="Heading1"/>
        <w:spacing w:after="0" w:before="0" w:lineRule="auto"/>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British Tennis Diversity and Inclusion Policy</w:t>
      </w:r>
    </w:p>
    <w:p w:rsidR="00000000" w:rsidDel="00000000" w:rsidP="00000000" w:rsidRDefault="00000000" w:rsidRPr="00000000" w14:paraId="00000005">
      <w:pPr>
        <w:pStyle w:val="Heading1"/>
        <w:spacing w:after="0" w:before="0" w:lineRule="auto"/>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6">
      <w:pPr>
        <w:pStyle w:val="Heading1"/>
        <w:spacing w:after="0" w:before="0" w:lineRule="auto"/>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56"/>
          <w:szCs w:val="56"/>
          <w:rtl w:val="0"/>
        </w:rPr>
        <w:t xml:space="preserve">Including Code of Conduct and Reporting Procedure </w:t>
      </w:r>
      <w:r w:rsidDel="00000000" w:rsidR="00000000" w:rsidRPr="00000000">
        <w:rPr>
          <w:rtl w:val="0"/>
        </w:rPr>
      </w:r>
    </w:p>
    <w:p w:rsidR="00000000" w:rsidDel="00000000" w:rsidP="00000000" w:rsidRDefault="00000000" w:rsidRPr="00000000" w14:paraId="00000007">
      <w:pPr>
        <w:pStyle w:val="Heading1"/>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Style w:val="Heading1"/>
        <w:spacing w:after="0" w:before="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(Lichfield Friary Lawn Tennis Club) </w:t>
      </w:r>
    </w:p>
    <w:p w:rsidR="00000000" w:rsidDel="00000000" w:rsidP="00000000" w:rsidRDefault="00000000" w:rsidRPr="00000000" w14:paraId="0000000A">
      <w:pPr>
        <w:pStyle w:val="Heading1"/>
        <w:spacing w:after="0" w:before="0" w:lineRule="auto"/>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C">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Concern Reporting Procedure</w:t>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who has concerns that they or someone else is being discriminated against or has been a victim of discriminatory language or behaviour should:</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tbl>
      <w:tblPr>
        <w:tblStyle w:val="Table1"/>
        <w:tblW w:w="1048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64"/>
        <w:gridCol w:w="3927"/>
        <w:gridCol w:w="4898"/>
        <w:tblGridChange w:id="0">
          <w:tblGrid>
            <w:gridCol w:w="1664"/>
            <w:gridCol w:w="3927"/>
            <w:gridCol w:w="4898"/>
          </w:tblGrid>
        </w:tblGridChange>
      </w:tblGrid>
      <w:tr>
        <w:trPr>
          <w:cantSplit w:val="0"/>
          <w:tblHeader w:val="0"/>
        </w:trPr>
        <w:tc>
          <w:tcPr>
            <w:shd w:fill="8db3e2"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Respond    </w:t>
            </w: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tl w:val="0"/>
              </w:rPr>
            </w:r>
          </w:p>
        </w:tc>
        <w:tc>
          <w:tcPr>
            <w:gridSpan w:val="2"/>
            <w:shd w:fill="8db3e2" w:val="clear"/>
          </w:tcPr>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Listen carefully to what the person is telling you. Do not interrupt; keep questions to a minimum; do not promise to keep the information secret</w:t>
            </w: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-12699</wp:posOffset>
                      </wp:positionV>
                      <wp:extent cx="509905" cy="234950"/>
                      <wp:effectExtent b="0" l="0" r="0" t="0"/>
                      <wp:wrapNone/>
                      <wp:docPr id="2" name=""/>
                      <a:graphic>
                        <a:graphicData uri="http://schemas.microsoft.com/office/word/2010/wordprocessingShape">
                          <wps:wsp>
                            <wps:cNvSpPr/>
                            <wps:cNvPr id="3" name="Shape 3"/>
                            <wps:spPr>
                              <a:xfrm>
                                <a:off x="5103748" y="3675225"/>
                                <a:ext cx="484505" cy="20955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-12699</wp:posOffset>
                      </wp:positionV>
                      <wp:extent cx="509905" cy="2349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09905" cy="234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509905" cy="234950"/>
                      <wp:effectExtent b="0" l="0" r="0" t="0"/>
                      <wp:wrapNone/>
                      <wp:docPr id="5" name=""/>
                      <a:graphic>
                        <a:graphicData uri="http://schemas.microsoft.com/office/word/2010/wordprocessingShape">
                          <wps:wsp>
                            <wps:cNvSpPr/>
                            <wps:cNvPr id="13" name="Shape 13"/>
                            <wps:spPr>
                              <a:xfrm>
                                <a:off x="5103748" y="3675225"/>
                                <a:ext cx="484505" cy="209550"/>
                              </a:xfrm>
                              <a:prstGeom prst="downArrow">
                                <a:avLst>
                                  <a:gd fmla="val 50000" name="adj1"/>
                                  <a:gd fmla="val 50000" name="adj2"/>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509905" cy="23495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09905" cy="234950"/>
                              </a:xfrm>
                              <a:prstGeom prst="rect"/>
                              <a:ln/>
                            </pic:spPr>
                          </pic:pic>
                        </a:graphicData>
                      </a:graphic>
                    </wp:anchor>
                  </w:drawing>
                </mc:Fallback>
              </mc:AlternateContent>
            </w:r>
          </w:p>
        </w:tc>
      </w:tr>
      <w:tr>
        <w:trPr>
          <w:cantSplit w:val="0"/>
          <w:tblHeader w:val="0"/>
        </w:trPr>
        <w:tc>
          <w:tcPr>
            <w:shd w:fill="f2dcdb" w:val="clea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Refer</w:t>
            </w: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tc>
        <w:tc>
          <w:tcPr>
            <w:shd w:fill="f2dcdb" w:val="clear"/>
          </w:tcPr>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someone in immediate danger?</w:t>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the police (999)</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THEN </w:t>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1282700</wp:posOffset>
                      </wp:positionV>
                      <wp:extent cx="509905" cy="234950"/>
                      <wp:effectExtent b="0" l="0" r="0" t="0"/>
                      <wp:wrapNone/>
                      <wp:docPr id="4" name=""/>
                      <a:graphic>
                        <a:graphicData uri="http://schemas.microsoft.com/office/word/2010/wordprocessingShape">
                          <wps:wsp>
                            <wps:cNvSpPr/>
                            <wps:cNvPr id="12" name="Shape 12"/>
                            <wps:spPr>
                              <a:xfrm>
                                <a:off x="5103748" y="3675225"/>
                                <a:ext cx="484505" cy="209550"/>
                              </a:xfrm>
                              <a:prstGeom prst="downArrow">
                                <a:avLst>
                                  <a:gd fmla="val 50000" name="adj1"/>
                                  <a:gd fmla="val 50000" name="adj2"/>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1282700</wp:posOffset>
                      </wp:positionV>
                      <wp:extent cx="509905" cy="23495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09905" cy="234950"/>
                              </a:xfrm>
                              <a:prstGeom prst="rect"/>
                              <a:ln/>
                            </pic:spPr>
                          </pic:pic>
                        </a:graphicData>
                      </a:graphic>
                    </wp:anchor>
                  </w:drawing>
                </mc:Fallback>
              </mc:AlternateContent>
            </w:r>
          </w:p>
        </w:tc>
        <w:tc>
          <w:tcPr>
            <w:shd w:fill="f2dcdb" w:val="clear"/>
          </w:tcPr>
          <w:p w:rsidR="00000000" w:rsidDel="00000000" w:rsidP="00000000" w:rsidRDefault="00000000" w:rsidRPr="00000000" w14:paraId="0000001E">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Talk to the club’s Welfare Officer in confidence (Janet Hickman janethickman2012@gmail.com;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Talk to the UK LTA Safeguarding Team * (020 8487 7000) as soon as possible [Mon-Fri, 9am-5pm]. If the Safeguarding Team is unavailable and you want advice before the next working day, call the NSPCC (0808 800 5000) or </w:t>
            </w:r>
            <w:r w:rsidDel="00000000" w:rsidR="00000000" w:rsidRPr="00000000">
              <w:rPr>
                <w:rFonts w:ascii="Calibri" w:cs="Calibri" w:eastAsia="Calibri" w:hAnsi="Calibri"/>
                <w:sz w:val="22"/>
                <w:szCs w:val="22"/>
                <w:rtl w:val="0"/>
              </w:rPr>
              <w:t xml:space="preserve">If your concern is about an adult ask them for details of your Staffordshire Safeguardingl Authority Adult Social Care Services.  03456042719</w:t>
            </w:r>
          </w:p>
          <w:p w:rsidR="00000000" w:rsidDel="00000000" w:rsidP="00000000" w:rsidRDefault="00000000" w:rsidRPr="00000000" w14:paraId="00000022">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ff"/>
                <w:sz w:val="22"/>
                <w:szCs w:val="22"/>
                <w:u w:val="single"/>
              </w:rPr>
            </w:pPr>
            <w:r w:rsidDel="00000000" w:rsidR="00000000" w:rsidRPr="00000000">
              <w:rPr>
                <w:rFonts w:ascii="Calibri" w:cs="Calibri" w:eastAsia="Calibri" w:hAnsi="Calibri"/>
                <w:sz w:val="22"/>
                <w:szCs w:val="22"/>
                <w:rtl w:val="0"/>
              </w:rPr>
              <w:t xml:space="preserve">Hate crime can alternatively be reported through True Vision at </w:t>
            </w:r>
            <w:hyperlink r:id="rId11">
              <w:r w:rsidDel="00000000" w:rsidR="00000000" w:rsidRPr="00000000">
                <w:rPr>
                  <w:rFonts w:ascii="Calibri" w:cs="Calibri" w:eastAsia="Calibri" w:hAnsi="Calibri"/>
                  <w:color w:val="0000ff"/>
                  <w:sz w:val="22"/>
                  <w:szCs w:val="22"/>
                  <w:u w:val="single"/>
                  <w:rtl w:val="0"/>
                </w:rPr>
                <w:t xml:space="preserve">www.report-it.org.uk</w:t>
              </w:r>
            </w:hyperlink>
            <w:r w:rsidDel="00000000" w:rsidR="00000000" w:rsidRPr="00000000">
              <w:rPr>
                <w:rtl w:val="0"/>
              </w:rPr>
            </w:r>
          </w:p>
          <w:p w:rsidR="00000000" w:rsidDel="00000000" w:rsidP="00000000" w:rsidRDefault="00000000" w:rsidRPr="00000000" w14:paraId="00000024">
            <w:pPr>
              <w:rPr>
                <w:rFonts w:ascii="Calibri" w:cs="Calibri" w:eastAsia="Calibri" w:hAnsi="Calibri"/>
                <w:color w:val="0000ff"/>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88900</wp:posOffset>
                      </wp:positionV>
                      <wp:extent cx="509905" cy="234950"/>
                      <wp:effectExtent b="0" l="0" r="0" t="0"/>
                      <wp:wrapNone/>
                      <wp:docPr id="1" name=""/>
                      <a:graphic>
                        <a:graphicData uri="http://schemas.microsoft.com/office/word/2010/wordprocessingShape">
                          <wps:wsp>
                            <wps:cNvSpPr/>
                            <wps:cNvPr id="2" name="Shape 2"/>
                            <wps:spPr>
                              <a:xfrm>
                                <a:off x="5103748" y="3675225"/>
                                <a:ext cx="484505" cy="209550"/>
                              </a:xfrm>
                              <a:prstGeom prst="downArrow">
                                <a:avLst>
                                  <a:gd fmla="val 50000" name="adj1"/>
                                  <a:gd fmla="val 50000" name="adj2"/>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88900</wp:posOffset>
                      </wp:positionV>
                      <wp:extent cx="509905" cy="23495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09905" cy="234950"/>
                              </a:xfrm>
                              <a:prstGeom prst="rect"/>
                              <a:ln/>
                            </pic:spPr>
                          </pic:pic>
                        </a:graphicData>
                      </a:graphic>
                    </wp:anchor>
                  </w:drawing>
                </mc:Fallback>
              </mc:AlternateContent>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tc>
      </w:tr>
      <w:tr>
        <w:trPr>
          <w:cantSplit w:val="0"/>
          <w:tblHeader w:val="0"/>
        </w:trPr>
        <w:tc>
          <w:tcPr>
            <w:shd w:fill="8db3e2" w:val="clear"/>
          </w:tcPr>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tc>
        <w:tc>
          <w:tcPr>
            <w:gridSpan w:val="2"/>
            <w:shd w:fill="8db3e2" w:val="clea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an objective account of your concerns immediately using the Reporting a Concern </w:t>
            </w:r>
            <w:r w:rsidDel="00000000" w:rsidR="00000000" w:rsidRPr="00000000">
              <w:rPr>
                <w:rFonts w:ascii="Calibri" w:cs="Calibri" w:eastAsia="Calibri" w:hAnsi="Calibri"/>
                <w:sz w:val="22"/>
                <w:szCs w:val="22"/>
                <w:shd w:fill="8db3e2" w:val="clear"/>
                <w:rtl w:val="0"/>
              </w:rPr>
              <w:t xml:space="preserve">Form found on the </w:t>
            </w:r>
            <w:hyperlink r:id="rId13">
              <w:r w:rsidDel="00000000" w:rsidR="00000000" w:rsidRPr="00000000">
                <w:rPr>
                  <w:rFonts w:ascii="Calibri" w:cs="Calibri" w:eastAsia="Calibri" w:hAnsi="Calibri"/>
                  <w:color w:val="0000ff"/>
                  <w:sz w:val="22"/>
                  <w:szCs w:val="22"/>
                  <w:u w:val="single"/>
                  <w:shd w:fill="8db3e2" w:val="clear"/>
                  <w:rtl w:val="0"/>
                </w:rPr>
                <w:t xml:space="preserve">safeguarding page</w:t>
              </w:r>
            </w:hyperlink>
            <w:r w:rsidDel="00000000" w:rsidR="00000000" w:rsidRPr="00000000">
              <w:rPr>
                <w:rFonts w:ascii="Calibri" w:cs="Calibri" w:eastAsia="Calibri" w:hAnsi="Calibri"/>
                <w:sz w:val="22"/>
                <w:szCs w:val="22"/>
                <w:shd w:fill="8db3e2" w:val="clear"/>
                <w:rtl w:val="0"/>
              </w:rPr>
              <w:t xml:space="preserve">. S</w:t>
            </w:r>
            <w:r w:rsidDel="00000000" w:rsidR="00000000" w:rsidRPr="00000000">
              <w:rPr>
                <w:rFonts w:ascii="Calibri" w:cs="Calibri" w:eastAsia="Calibri" w:hAnsi="Calibri"/>
                <w:sz w:val="22"/>
                <w:szCs w:val="22"/>
                <w:rtl w:val="0"/>
              </w:rPr>
              <w:t xml:space="preserve">end it to the Safeguarding Team within 48 hours of the concern/disclosure (</w:t>
            </w:r>
            <w:hyperlink r:id="rId14">
              <w:r w:rsidDel="00000000" w:rsidR="00000000" w:rsidRPr="00000000">
                <w:rPr>
                  <w:rFonts w:ascii="Calibri" w:cs="Calibri" w:eastAsia="Calibri" w:hAnsi="Calibri"/>
                  <w:color w:val="0000ff"/>
                  <w:sz w:val="22"/>
                  <w:szCs w:val="22"/>
                  <w:u w:val="single"/>
                  <w:rtl w:val="0"/>
                </w:rPr>
                <w:t xml:space="preserve">safeguarding@lta.org.uk</w:t>
              </w:r>
            </w:hyperlink>
            <w:r w:rsidDel="00000000" w:rsidR="00000000" w:rsidRPr="00000000">
              <w:rPr>
                <w:rFonts w:ascii="Calibri" w:cs="Calibri" w:eastAsia="Calibri" w:hAnsi="Calibri"/>
                <w:color w:val="0000ff"/>
                <w:sz w:val="22"/>
                <w:szCs w:val="22"/>
                <w:u w:val="single"/>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Handling a concern/disclosure can be emotionally difficult. If you would like to talk to someone after making a concern/disclosure, contact the LTA Safeguarding Team by phone 020 8487 7000 or email  </w:t>
            </w:r>
            <w:hyperlink r:id="rId15">
              <w:r w:rsidDel="00000000" w:rsidR="00000000" w:rsidRPr="00000000">
                <w:rPr>
                  <w:rFonts w:ascii="Calibri" w:cs="Calibri" w:eastAsia="Calibri" w:hAnsi="Calibri"/>
                  <w:color w:val="0000ff"/>
                  <w:sz w:val="22"/>
                  <w:szCs w:val="22"/>
                  <w:u w:val="single"/>
                  <w:rtl w:val="0"/>
                </w:rPr>
                <w:t xml:space="preserve">safeguarding@lta.org.uk</w:t>
              </w:r>
            </w:hyperlink>
            <w:r w:rsidDel="00000000" w:rsidR="00000000" w:rsidRPr="00000000">
              <w:rPr>
                <w:rtl w:val="0"/>
              </w:rPr>
            </w:r>
          </w:p>
        </w:tc>
      </w:tr>
    </w:tbl>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 appendix C for more details on what to do if a disclosure from a child or adult at risk is made to you)</w:t>
      </w:r>
      <w:r w:rsidDel="00000000" w:rsidR="00000000" w:rsidRPr="00000000">
        <w:br w:type="page"/>
      </w: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and Inclusion in Lichfield Friary Lawn Tennis Club</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sets out our commitment and includes our Safe and Inclusive Standards, Code of Conduct (page 8) and Reporting Procedure (page 2) and it supports our overall aims for diversity and inclusion that are to ensure that:</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 is diverse and inclusive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 and inclusion are embedded in our club’s culture and our behaviours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create a culture where inclusive leadership thrives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take a proactive approach using positive action to ensure that communities and individuals are valued and able to achieve their full potential. </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achieve these aims we believe that everyone involved in Tennis has a vital role to play in promoting diversity and inclusion and we ask everyone to become Safe and Inclusive Tennis Champions – proactively promoting Safe and Inclusive tennis and taking action against all forms of discrimination.</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commitments are fully supported by the Lichfield Friary Lawn Tennis Club} Committee.</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Together we can make a positive difference to people from different backgrounds to participate in Tennis at our club.</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w:t>
      </w:r>
    </w:p>
    <w:p w:rsidR="00000000" w:rsidDel="00000000" w:rsidP="00000000" w:rsidRDefault="00000000" w:rsidRPr="00000000" w14:paraId="00000040">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and Inclusion Policy</w:t>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Statement </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Diversity and Inclusion Policy, Standards, Code of Conduct and Reporting Procedure are applicable to </w:t>
      </w:r>
      <w:r w:rsidDel="00000000" w:rsidR="00000000" w:rsidRPr="00000000">
        <w:rPr>
          <w:rFonts w:ascii="Calibri" w:cs="Calibri" w:eastAsia="Calibri" w:hAnsi="Calibri"/>
          <w:b w:val="1"/>
          <w:sz w:val="22"/>
          <w:szCs w:val="22"/>
          <w:rtl w:val="0"/>
        </w:rPr>
        <w:t xml:space="preserve">Lichfield Friary Lawn Tennis Club</w:t>
      </w:r>
      <w:r w:rsidDel="00000000" w:rsidR="00000000" w:rsidRPr="00000000">
        <w:rPr>
          <w:rFonts w:ascii="Calibri" w:cs="Calibri" w:eastAsia="Calibri" w:hAnsi="Calibri"/>
          <w:sz w:val="22"/>
          <w:szCs w:val="22"/>
          <w:rtl w:val="0"/>
        </w:rPr>
        <w:t xml:space="preserve"> and is based on similar policies of:</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Lawn Tennis Association (LTA)</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 Scotland</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 Wales</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Tennis Foundation.</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club we contribute actively to enable more people to play tennis more often, in a manner that it is safe, inclusive, and fair. This applies regardless of a person’s age, disability, gender reassignment status, sex, marital or civil partnership status, pregnancy or maternity, race, sex, sexual orientation, religion, race or sexual orientation, socio-economic status or any other background. </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of Terminology</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adopted the following definitions to explain our approach to diversity and inclusion in tennis:</w:t>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treating someone in a less favourable way and causing them harm, because of their age, disability, gender reassignment, marriage or civil partnership, pregnancy or maternity, race, religion or belief, sex or sexual orientation</w:t>
      </w:r>
    </w:p>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Diversity </w:t>
      </w:r>
      <w:r w:rsidDel="00000000" w:rsidR="00000000" w:rsidRPr="00000000">
        <w:rPr>
          <w:rFonts w:ascii="Calibri" w:cs="Calibri" w:eastAsia="Calibri" w:hAnsi="Calibri"/>
          <w:sz w:val="22"/>
          <w:szCs w:val="22"/>
          <w:rtl w:val="0"/>
        </w:rPr>
        <w:t xml:space="preserve">– acknowledging, celebrating and respecting the differences between groups of people and between individuals. We will work to ensure that people can be assured of an environment in which their rights, dignity and individual worth are respected, and in particular that they are able to enjoy their sport without the threat of intimidation, victimisation, harassment or abuse.</w:t>
      </w:r>
    </w:p>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Harassment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000000" w:rsidDel="00000000" w:rsidP="00000000" w:rsidRDefault="00000000" w:rsidRPr="00000000" w14:paraId="0000005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Inclusion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ensuring that tennis is equally 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Positive action</w:t>
      </w:r>
      <w:r w:rsidDel="00000000" w:rsidR="00000000" w:rsidRPr="00000000">
        <w:rPr>
          <w:rFonts w:ascii="Calibri" w:cs="Calibri" w:eastAsia="Calibri" w:hAnsi="Calibri"/>
          <w:sz w:val="22"/>
          <w:szCs w:val="22"/>
          <w:rtl w:val="0"/>
        </w:rPr>
        <w:t xml:space="preserve"> – Lichfield Friary Lawn Tennis Club 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(See Appendix A for full glossary of terms)</w:t>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Scope</w:t>
      </w:r>
    </w:p>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LFLTC has direct safe and inclusive responsibility for:</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consultants, coaches and officials they employ;</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including board members and councillors they recruit;</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Venues they own;</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and programmes they run; and</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all accreditation requirements are met by accredited coaches, officials and venues.</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recommend and support the development of good diversity and inclusion practice to:</w:t>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Accredited coaches, officials and venues;</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parents and carers;</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recruited by other organisations;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Venues hired by or on our behalf </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Events.</w:t>
      </w:r>
    </w:p>
    <w:p w:rsidR="00000000" w:rsidDel="00000000" w:rsidP="00000000" w:rsidRDefault="00000000" w:rsidRPr="00000000" w14:paraId="00000073">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is in line with national legislation (see appendix B for details of the relevant legislation) and applicable to our club, specifically to every person and place that we have direct safe and inclusive responsibility for.</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for implementation of the Diversity and Inclusion Policy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tabs>
          <w:tab w:val="left" w:leader="none" w:pos="8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and inclusion is everyone’s responsibility: not responding to discriminatory or unacceptable language and behaviour is not an option.</w:t>
      </w:r>
    </w:p>
    <w:p w:rsidR="00000000" w:rsidDel="00000000" w:rsidP="00000000" w:rsidRDefault="00000000" w:rsidRPr="00000000" w14:paraId="00000079">
      <w:pPr>
        <w:tabs>
          <w:tab w:val="left" w:leader="none" w:pos="8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club’s Committee and </w:t>
      </w:r>
      <w:r w:rsidDel="00000000" w:rsidR="00000000" w:rsidRPr="00000000">
        <w:rPr>
          <w:rFonts w:ascii="Calibri" w:cs="Calibri" w:eastAsia="Calibri" w:hAnsi="Calibri"/>
          <w:sz w:val="22"/>
          <w:szCs w:val="22"/>
          <w:rtl w:val="0"/>
        </w:rPr>
        <w:t xml:space="preserve">collective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Chair have overall accountability for this Policy and Reporting Procedure, for being the strategic lead on diversity and inclusion and for ensuring compliance with the relevant legislation (see Appendix for details).</w:t>
      </w:r>
    </w:p>
    <w:p w:rsidR="00000000" w:rsidDel="00000000" w:rsidP="00000000" w:rsidRDefault="00000000" w:rsidRPr="00000000" w14:paraId="0000007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club’s chair  and Welfare Officer have overall responsibility for implementation of the policy.</w:t>
      </w:r>
    </w:p>
    <w:p w:rsidR="00000000" w:rsidDel="00000000" w:rsidP="00000000" w:rsidRDefault="00000000" w:rsidRPr="00000000" w14:paraId="0000007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and Welfare Officer of the club are responsible for updating this Policy and Reporting Procedure in line with legislative and organisational developments; and develop a strategic and proactive approach to diversity and inclusion and respond to discrimination concerns.</w:t>
      </w:r>
    </w:p>
    <w:p w:rsidR="00000000" w:rsidDel="00000000" w:rsidP="00000000" w:rsidRDefault="00000000" w:rsidRPr="00000000" w14:paraId="0000007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Lichfield Friary Lawn Tennis Club’s Welfare Officer Janet Hickman is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parents and carers.</w:t>
      </w:r>
    </w:p>
    <w:p w:rsidR="00000000" w:rsidDel="00000000" w:rsidP="00000000" w:rsidRDefault="00000000" w:rsidRPr="00000000" w14:paraId="0000007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consultants, coaches, officials and volunteers involved in tennis are responsible for raising diversity and inclusion concerns with the club’s Welfare Officer to start with; then the Safe and Inclusive Tennis team if applicable, as outlined in the Reporting Procedure.</w:t>
      </w:r>
    </w:p>
    <w:p w:rsidR="00000000" w:rsidDel="00000000" w:rsidP="00000000" w:rsidRDefault="00000000" w:rsidRPr="00000000" w14:paraId="0000007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parents and guardians are responsible for upholding the Code of Conduct and Reporting Procedure.</w:t>
      </w:r>
    </w:p>
    <w:p w:rsidR="00000000" w:rsidDel="00000000" w:rsidP="00000000" w:rsidRDefault="00000000" w:rsidRPr="00000000" w14:paraId="000000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37"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Lichfield Friary Lawn Tennis Club  committed to:</w:t>
      </w:r>
    </w:p>
    <w:p w:rsidR="00000000" w:rsidDel="00000000" w:rsidP="00000000" w:rsidRDefault="00000000" w:rsidRPr="00000000" w14:paraId="00000081">
      <w:pPr>
        <w:numPr>
          <w:ilvl w:val="1"/>
          <w:numId w:val="1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formally adopt this policy, </w:t>
      </w:r>
    </w:p>
    <w:p w:rsidR="00000000" w:rsidDel="00000000" w:rsidP="00000000" w:rsidRDefault="00000000" w:rsidRPr="00000000" w14:paraId="00000082">
      <w:pPr>
        <w:numPr>
          <w:ilvl w:val="1"/>
          <w:numId w:val="1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steps to ensure that our committee, members, participants and volunteers behave in accordance with the policy, including where appropriate taking disciplinary action under our constitution;</w:t>
      </w:r>
    </w:p>
    <w:p w:rsidR="00000000" w:rsidDel="00000000" w:rsidP="00000000" w:rsidRDefault="00000000" w:rsidRPr="00000000" w14:paraId="00000083">
      <w:pPr>
        <w:numPr>
          <w:ilvl w:val="1"/>
          <w:numId w:val="1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access to membership as well as access to participation is open and inclusive;</w:t>
      </w:r>
    </w:p>
    <w:p w:rsidR="00000000" w:rsidDel="00000000" w:rsidP="00000000" w:rsidRDefault="00000000" w:rsidRPr="00000000" w14:paraId="00000084">
      <w:pPr>
        <w:numPr>
          <w:ilvl w:val="1"/>
          <w:numId w:val="1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publish accurate information about the location and accessibility of our facilities; and</w:t>
      </w:r>
    </w:p>
    <w:p w:rsidR="00000000" w:rsidDel="00000000" w:rsidP="00000000" w:rsidRDefault="00000000" w:rsidRPr="00000000" w14:paraId="00000085">
      <w:pPr>
        <w:numPr>
          <w:ilvl w:val="1"/>
          <w:numId w:val="1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measures and initiatives that British Tennis may institute or take part in to advance the aims of this policy as part of our commitment to our LTA membership.  </w:t>
      </w:r>
    </w:p>
    <w:p w:rsidR="00000000" w:rsidDel="00000000" w:rsidP="00000000" w:rsidRDefault="00000000" w:rsidRPr="00000000" w14:paraId="00000086">
      <w:pPr>
        <w:tabs>
          <w:tab w:val="left" w:leader="none" w:pos="8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tabs>
          <w:tab w:val="left" w:leader="none" w:pos="8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a diversity and inclusion concern/disclosure: </w:t>
      </w:r>
    </w:p>
    <w:p w:rsidR="00000000" w:rsidDel="00000000" w:rsidP="00000000" w:rsidRDefault="00000000" w:rsidRPr="00000000" w14:paraId="00000088">
      <w:pPr>
        <w:tabs>
          <w:tab w:val="left" w:leader="none" w:pos="8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who is told about, hears, or is made aware of the concern/disclosure is responsible for following the </w:t>
      </w:r>
      <w:hyperlink w:anchor="_gjdgxs">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Concern Reporting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above </w:t>
      </w:r>
    </w:p>
    <w:p w:rsidR="00000000" w:rsidDel="00000000" w:rsidP="00000000" w:rsidRDefault="00000000" w:rsidRPr="00000000" w14:paraId="0000008A">
      <w:pPr>
        <w:tabs>
          <w:tab w:val="left" w:leader="none" w:pos="8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Breaches of the Diversity and Inclusion Policy, Standards, Code of Conduct and Reporting Procedure</w:t>
      </w:r>
    </w:p>
    <w:p w:rsidR="00000000" w:rsidDel="00000000" w:rsidP="00000000" w:rsidRDefault="00000000" w:rsidRPr="00000000" w14:paraId="0000008C">
      <w:pPr>
        <w:tabs>
          <w:tab w:val="left" w:leader="none" w:pos="8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are concerns that diversity and inclusion good practice has not been followed, all staff are encouraged to follow the club’s whistleblowing policy; consultants, coaches, officials, volunteers and players are encouraged to: </w:t>
      </w:r>
    </w:p>
    <w:p w:rsidR="00000000" w:rsidDel="00000000" w:rsidP="00000000" w:rsidRDefault="00000000" w:rsidRPr="00000000" w14:paraId="0000008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0" distT="0" distL="0" distR="0">
                <wp:extent cx="5969000" cy="2552700"/>
                <wp:effectExtent b="0" l="0" r="0" t="0"/>
                <wp:docPr id="3" name=""/>
                <a:graphic>
                  <a:graphicData uri="http://schemas.microsoft.com/office/word/2010/wordprocessingGroup">
                    <wpg:wgp>
                      <wpg:cNvGrpSpPr/>
                      <wpg:grpSpPr>
                        <a:xfrm>
                          <a:off x="0" y="0"/>
                          <a:ext cx="5969000" cy="2552700"/>
                          <a:chOff x="0" y="0"/>
                          <a:chExt cx="6009000" cy="2611900"/>
                        </a:xfrm>
                      </wpg:grpSpPr>
                      <wpg:grpSp>
                        <wpg:cNvGrpSpPr/>
                        <wpg:grpSpPr>
                          <a:xfrm>
                            <a:off x="0" y="0"/>
                            <a:ext cx="5969000" cy="2552700"/>
                            <a:chOff x="0" y="0"/>
                            <a:chExt cx="5969000" cy="2552700"/>
                          </a:xfrm>
                        </wpg:grpSpPr>
                        <wps:wsp>
                          <wps:cNvSpPr/>
                          <wps:cNvPr id="5" name="Shape 5"/>
                          <wps:spPr>
                            <a:xfrm>
                              <a:off x="0" y="0"/>
                              <a:ext cx="5969000" cy="25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971462"/>
                              <a:ext cx="5968999" cy="580434"/>
                            </a:xfrm>
                            <a:prstGeom prst="rect">
                              <a:avLst/>
                            </a:prstGeom>
                            <a:gradFill>
                              <a:gsLst>
                                <a:gs pos="0">
                                  <a:srgbClr val="9FC3FF"/>
                                </a:gs>
                                <a:gs pos="35000">
                                  <a:srgbClr val="BDD5FF"/>
                                </a:gs>
                                <a:gs pos="100000">
                                  <a:srgbClr val="E4EEFF"/>
                                </a:gs>
                              </a:gsLst>
                              <a:lin ang="16200000" scaled="0"/>
                            </a:gradFill>
                            <a:ln>
                              <a:noFill/>
                            </a:ln>
                            <a:effectLst>
                              <a:outerShdw blurRad="40000" rotWithShape="0" dir="5400000" dist="20000">
                                <a:srgbClr val="000000">
                                  <a:alpha val="37647"/>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0" y="1971462"/>
                              <a:ext cx="5968999" cy="58043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 Seek further advice from the Equality Advisory Support Service a call on 0808 800 0082. For further information their website is: http://www.equalityadvisoryservice.com/app/ask  </w:t>
                                </w:r>
                              </w:p>
                              <w:p w:rsidR="00000000" w:rsidDel="00000000" w:rsidP="00000000" w:rsidRDefault="00000000" w:rsidRPr="00000000">
                                <w:pPr>
                                  <w:spacing w:after="0" w:before="76.99999809265137"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78225" lIns="78225" spcFirstLastPara="1" rIns="78225" wrap="square" tIns="78225">
                            <a:noAutofit/>
                          </wps:bodyPr>
                        </wps:wsp>
                        <wps:wsp>
                          <wps:cNvSpPr/>
                          <wps:cNvPr id="8" name="Shape 8"/>
                          <wps:spPr>
                            <a:xfrm rot="10800000">
                              <a:off x="0" y="879927"/>
                              <a:ext cx="5968999" cy="1102285"/>
                            </a:xfrm>
                            <a:prstGeom prst="upArrowCallout">
                              <a:avLst>
                                <a:gd fmla="val 25000" name="adj1"/>
                                <a:gd fmla="val 25000" name="adj2"/>
                                <a:gd fmla="val 25000" name="adj3"/>
                                <a:gd fmla="val 64977" name="adj4"/>
                              </a:avLst>
                            </a:prstGeom>
                            <a:gradFill>
                              <a:gsLst>
                                <a:gs pos="0">
                                  <a:srgbClr val="9FC3FF"/>
                                </a:gs>
                                <a:gs pos="35000">
                                  <a:srgbClr val="BDD5FF"/>
                                </a:gs>
                                <a:gs pos="100000">
                                  <a:srgbClr val="E4EEFF"/>
                                </a:gs>
                              </a:gsLst>
                              <a:lin ang="16200000" scaled="0"/>
                            </a:gradFill>
                            <a:ln>
                              <a:noFill/>
                            </a:ln>
                            <a:effectLst>
                              <a:outerShdw blurRad="40000" rotWithShape="0" dir="5400000" dist="20000">
                                <a:srgbClr val="000000">
                                  <a:alpha val="37647"/>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0" y="879927"/>
                              <a:ext cx="5968999" cy="716232"/>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 If required, you can contact the LTA Safeguarding Team: safeguarding@lta.org.uk - they can assist in liaising with the club and investigating the matter. Alternatively, the NSPCC Whistleblowing advice line: 0800 028 0285; help@nspcc.org.uk  can be contacted.</w:t>
                                </w:r>
                              </w:p>
                            </w:txbxContent>
                          </wps:txbx>
                          <wps:bodyPr anchorCtr="0" anchor="ctr" bIns="78225" lIns="78225" spcFirstLastPara="1" rIns="78225" wrap="square" tIns="78225">
                            <a:noAutofit/>
                          </wps:bodyPr>
                        </wps:wsp>
                        <wps:wsp>
                          <wps:cNvSpPr/>
                          <wps:cNvPr id="10" name="Shape 10"/>
                          <wps:spPr>
                            <a:xfrm rot="10800000">
                              <a:off x="0" y="803"/>
                              <a:ext cx="5968999" cy="889874"/>
                            </a:xfrm>
                            <a:prstGeom prst="upArrowCallout">
                              <a:avLst>
                                <a:gd fmla="val 25000" name="adj1"/>
                                <a:gd fmla="val 25000" name="adj2"/>
                                <a:gd fmla="val 25000" name="adj3"/>
                                <a:gd fmla="val 64977" name="adj4"/>
                              </a:avLst>
                            </a:prstGeom>
                            <a:gradFill>
                              <a:gsLst>
                                <a:gs pos="0">
                                  <a:srgbClr val="9FC3FF"/>
                                </a:gs>
                                <a:gs pos="35000">
                                  <a:srgbClr val="BDD5FF"/>
                                </a:gs>
                                <a:gs pos="100000">
                                  <a:srgbClr val="E4EEFF"/>
                                </a:gs>
                              </a:gsLst>
                              <a:lin ang="16200000" scaled="0"/>
                            </a:gradFill>
                            <a:ln>
                              <a:noFill/>
                            </a:ln>
                            <a:effectLst>
                              <a:outerShdw blurRad="40000" rotWithShape="0" dir="5400000" dist="20000">
                                <a:srgbClr val="000000">
                                  <a:alpha val="37647"/>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0" y="803"/>
                              <a:ext cx="5968999" cy="5782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 Complain directly to the person or organisation and seek resolution. In the first instance, this can often resolve many disputes or concerns.</w:t>
                                </w:r>
                              </w:p>
                            </w:txbxContent>
                          </wps:txbx>
                          <wps:bodyPr anchorCtr="0" anchor="ctr" bIns="78225" lIns="78225" spcFirstLastPara="1" rIns="78225" wrap="square" tIns="78225">
                            <a:noAutofit/>
                          </wps:bodyPr>
                        </wps:wsp>
                      </wpg:grpSp>
                    </wpg:wgp>
                  </a:graphicData>
                </a:graphic>
              </wp:inline>
            </w:drawing>
          </mc:Choice>
          <mc:Fallback>
            <w:drawing>
              <wp:inline distB="0" distT="0" distL="0" distR="0">
                <wp:extent cx="5969000" cy="2552700"/>
                <wp:effectExtent b="0" l="0" r="0" t="0"/>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69000" cy="255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someone comes to you with a concern around discrimination, listen to their complaint, reassure them and advise them of the routes listed above (1-3).</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of this Policy and/or failure to comply with the outlined responsibilities may result in the following by the LTA, Tennis Scotland, Tennis Wales and/or the Tennis Foundation:</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Venues – Potential removal of LTA accreditation </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 disciplinary action leading to possible dismissal and legal action.</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consultants, officials and coaches – termination of current and future roles within all four organisations and possible legal action.</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Recruited volunteers, including councillors and board members – termination of current and future roles within all four organisations and possible legal action.</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an appeal is lodged in response to a safeguarding decision made by the LTA Safeguarding Team and Safeguarding and Protection Committee and/or Licensing and Registration Committee, an independent appeal body such as Sport Resolutions may be used. Their decision is final.</w:t>
      </w:r>
    </w:p>
    <w:p w:rsidR="00000000" w:rsidDel="00000000" w:rsidP="00000000" w:rsidRDefault="00000000" w:rsidRPr="00000000" w14:paraId="0000009C">
      <w:pPr>
        <w:tabs>
          <w:tab w:val="left" w:leader="none" w:pos="840"/>
        </w:tabs>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Related policies and guidance</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8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3"/>
        <w:gridCol w:w="5236"/>
        <w:tblGridChange w:id="0">
          <w:tblGrid>
            <w:gridCol w:w="5253"/>
            <w:gridCol w:w="5236"/>
          </w:tblGrid>
        </w:tblGridChange>
      </w:tblGrid>
      <w:tr>
        <w:trPr>
          <w:cantSplit w:val="0"/>
          <w:tblHeader w:val="0"/>
        </w:trPr>
        <w:tc>
          <w:tcPr/>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Policy</w:t>
            </w:r>
          </w:p>
        </w:tc>
        <w:tc>
          <w:tcPr/>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Policy</w:t>
            </w:r>
          </w:p>
        </w:tc>
      </w:tr>
      <w:tr>
        <w:trPr>
          <w:cantSplit w:val="0"/>
          <w:tblHeader w:val="0"/>
        </w:trPr>
        <w:tc>
          <w:tcPr/>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Policy</w:t>
            </w:r>
          </w:p>
        </w:tc>
        <w:tc>
          <w:tcPr/>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 Policy</w:t>
            </w:r>
          </w:p>
        </w:tc>
      </w:tr>
      <w:tr>
        <w:trPr>
          <w:cantSplit w:val="0"/>
          <w:tblHeader w:val="0"/>
        </w:trPr>
        <w:tc>
          <w:tcPr/>
          <w:p w:rsidR="00000000" w:rsidDel="00000000" w:rsidP="00000000" w:rsidRDefault="00000000" w:rsidRPr="00000000" w14:paraId="000000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Policy</w:t>
            </w:r>
          </w:p>
        </w:tc>
        <w:tc>
          <w:tcPr/>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Policy</w:t>
            </w:r>
          </w:p>
        </w:tc>
      </w:tr>
      <w:tr>
        <w:trPr>
          <w:cantSplit w:val="0"/>
          <w:tblHeader w:val="0"/>
        </w:trPr>
        <w:tc>
          <w:tcPr/>
          <w:p w:rsidR="00000000" w:rsidDel="00000000" w:rsidP="00000000" w:rsidRDefault="00000000" w:rsidRPr="00000000" w14:paraId="000000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Transgender Policy</w:t>
            </w:r>
          </w:p>
        </w:tc>
        <w:tc>
          <w:tcPr/>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Whistle-blowing Policy</w:t>
            </w:r>
          </w:p>
        </w:tc>
      </w:tr>
      <w:tr>
        <w:trPr>
          <w:cantSplit w:val="0"/>
          <w:tblHeader w:val="0"/>
        </w:trPr>
        <w:tc>
          <w:tcPr/>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Policy</w:t>
            </w:r>
          </w:p>
        </w:tc>
        <w:tc>
          <w:tcPr/>
          <w:p w:rsidR="00000000" w:rsidDel="00000000" w:rsidP="00000000" w:rsidRDefault="00000000" w:rsidRPr="00000000" w14:paraId="000000A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4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others as may be identified from time to time.</w:t>
            </w:r>
          </w:p>
        </w:tc>
      </w:tr>
    </w:tbl>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sz w:val="32"/>
          <w:szCs w:val="32"/>
        </w:rPr>
      </w:pPr>
      <w:r w:rsidDel="00000000" w:rsidR="00000000" w:rsidRPr="00000000">
        <w:br w:type="page"/>
      </w:r>
      <w:r w:rsidDel="00000000" w:rsidR="00000000" w:rsidRPr="00000000">
        <w:rPr>
          <w:rFonts w:ascii="Calibri" w:cs="Calibri" w:eastAsia="Calibri" w:hAnsi="Calibri"/>
          <w:b w:val="1"/>
          <w:sz w:val="32"/>
          <w:szCs w:val="32"/>
          <w:rtl w:val="0"/>
        </w:rPr>
        <w:t xml:space="preserve">Codes of Conduct</w:t>
      </w:r>
    </w:p>
    <w:p w:rsidR="00000000" w:rsidDel="00000000" w:rsidP="00000000" w:rsidRDefault="00000000" w:rsidRPr="00000000" w14:paraId="000000AB">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C">
      <w:pPr>
        <w:spacing w:line="276"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All members of staff and volunteers agree to:</w:t>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Prioritise the well-being of all children and adults at risk at all times</w:t>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all children and adults at risk fairly and with respect</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positive role model. Act with integrity, even when no one is looking</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create a safe and inclusive environment both on and off court</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allow any rough or dangerous behaviour, bullying or the use of bad or inappropriate language</w:t>
      </w:r>
    </w:p>
    <w:p w:rsidR="00000000" w:rsidDel="00000000" w:rsidP="00000000" w:rsidRDefault="00000000" w:rsidRPr="00000000" w14:paraId="000000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all allegations of abuse or poor practice to the club Welfare Officer</w:t>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use any sanctions that humiliate or harm a child or adult at risk</w:t>
      </w:r>
    </w:p>
    <w:p w:rsidR="00000000" w:rsidDel="00000000" w:rsidP="00000000" w:rsidRDefault="00000000" w:rsidRPr="00000000" w14:paraId="000000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and celebrate diversity and make all reasonable efforts to meet individual needs</w:t>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clear boundaries between professional and personal life, including on social media</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relevant consent from parents/carers, children and adults before taking or using photos and videos</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making physical contact with children or adults unless it is necessary as part of an emergency or congratulatory (e.g. handshake / high five)</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smoking and consuming alcohol during club activities or coaching sessions</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roles and responsibilities are clearly outlined and everyone has the required information and training</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being alone with a child or adult at risk unless there are exceptional circumstances</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transporting children or adults at risk, unless this is required as part of a club activity (e.g. away match) and there is another adult in the vehicle</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abuse, neglect, harm or discriminate against anyone; or act in a way that may be interpreted as such</w:t>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have a relationship with anyone under 18 for whom they are coaching or responsible for</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to have a relationship with anyone over 18 whilst continuing to coach or be responsible for them</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spacing w:line="276"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All children agree to:</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friendly, supportive and welcoming to other children and adults</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fairly and honestly</w:t>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club staff, volunteers and Officials and accept their decisions</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 respect and listen to your coach</w:t>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care of your equipment and club property</w:t>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rights, dignity and worth of all participants regardless of age, gender, ability, race, culture, religion or sexual identity</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use bad, inappropriate or racist language, including on social media</w:t>
      </w:r>
    </w:p>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bully, intimidate or harass anyone, including on social media</w:t>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smoke, drink alcohol or drugs of any kind on club premises or whilst representing the club at competitions or events</w:t>
      </w:r>
    </w:p>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to the club Welfare Officer about any concerns or worries they have about themselves or others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spacing w:line="276"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F">
      <w:pPr>
        <w:spacing w:line="276"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All adults agree to:</w:t>
      </w:r>
    </w:p>
    <w:p w:rsidR="00000000" w:rsidDel="00000000" w:rsidP="00000000" w:rsidRDefault="00000000" w:rsidRPr="00000000" w14:paraId="000000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Positively reinforce your child and show an interest in their tennis</w:t>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language at all times</w:t>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realistic and supportive</w:t>
      </w:r>
    </w:p>
    <w:p w:rsidR="00000000" w:rsidDel="00000000" w:rsidP="00000000" w:rsidRDefault="00000000" w:rsidRPr="00000000" w14:paraId="000000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 ridicule or admonish a child for making a mistake or losing a match</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all children, adults, volunteers, coaches, officials and members of staff with respect</w:t>
      </w:r>
    </w:p>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 responsibly at the venue; do not embarrass your child</w:t>
      </w:r>
    </w:p>
    <w:p w:rsidR="00000000" w:rsidDel="00000000" w:rsidP="00000000" w:rsidRDefault="00000000" w:rsidRPr="00000000" w14:paraId="000000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 the official’s decisions and do not go on court or interfere with matches </w:t>
      </w:r>
    </w:p>
    <w:p w:rsidR="00000000" w:rsidDel="00000000" w:rsidP="00000000" w:rsidRDefault="00000000" w:rsidRPr="00000000" w14:paraId="000000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your child to play by the rules, and teach them that they can only do their best</w:t>
      </w:r>
    </w:p>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and collect your child punctually from the venue</w:t>
      </w:r>
    </w:p>
    <w:p w:rsidR="00000000" w:rsidDel="00000000" w:rsidP="00000000" w:rsidRDefault="00000000" w:rsidRPr="00000000" w14:paraId="000000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your child has appropriate clothing for the weather conditions</w:t>
      </w:r>
    </w:p>
    <w:p w:rsidR="00000000" w:rsidDel="00000000" w:rsidP="00000000" w:rsidRDefault="00000000" w:rsidRPr="00000000" w14:paraId="000000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your child understands their code of conduct </w:t>
      </w:r>
    </w:p>
    <w:p w:rsidR="00000000" w:rsidDel="00000000" w:rsidP="00000000" w:rsidRDefault="00000000" w:rsidRPr="00000000" w14:paraId="000000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your venue’s safeguarding policy, diversity and inclusion policy, rules and regulations</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emergency contact details and any relevant information about your child including medical history</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Agreed by the Collective chair:       </w:t>
        <w:tab/>
        <w:tab/>
        <w:tab/>
        <w:t xml:space="preserve">date 12/10/2023</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Agreed by LFLTC Welfare Officer</w:t>
        <w:tab/>
        <w:tab/>
        <w:tab/>
        <w:t xml:space="preserve">           date 12/10/2023</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date: </w:t>
        <w:tab/>
        <w:tab/>
        <w:tab/>
        <w:t xml:space="preserve">           </w:t>
        <w:tab/>
        <w:tab/>
        <w:t xml:space="preserve">            October 2025</w:t>
      </w:r>
    </w:p>
    <w:p w:rsidR="00000000" w:rsidDel="00000000" w:rsidP="00000000" w:rsidRDefault="00000000" w:rsidRPr="00000000" w14:paraId="000000E5">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A:</w:t>
      </w:r>
    </w:p>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Glossary of terms</w:t>
      </w:r>
    </w:p>
    <w:p w:rsidR="00000000" w:rsidDel="00000000" w:rsidP="00000000" w:rsidRDefault="00000000" w:rsidRPr="00000000" w14:paraId="000000E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w:t>
      </w:r>
      <w:r w:rsidDel="00000000" w:rsidR="00000000" w:rsidRPr="00000000">
        <w:rPr>
          <w:rFonts w:ascii="Calibri" w:cs="Calibri" w:eastAsia="Calibri" w:hAnsi="Calibri"/>
          <w:sz w:val="22"/>
          <w:szCs w:val="22"/>
          <w:rtl w:val="0"/>
        </w:rPr>
        <w:t xml:space="preserve"> This refers to a person belonging to a particular age group, which can mean people of the same age (e.g. 32-year old’s) or range of ages (e.g. 18 - 30-year old’s, or people over 50).</w:t>
      </w:r>
    </w:p>
    <w:p w:rsidR="00000000" w:rsidDel="00000000" w:rsidP="00000000" w:rsidRDefault="00000000" w:rsidRPr="00000000" w14:paraId="000000E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Bisexual</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Calibri" w:cs="Calibri" w:eastAsia="Calibri" w:hAnsi="Calibri"/>
          <w:b w:val="1"/>
          <w:sz w:val="22"/>
          <w:szCs w:val="22"/>
          <w:rtl w:val="0"/>
        </w:rPr>
        <w:t xml:space="preserve">or Bi: </w:t>
      </w:r>
      <w:r w:rsidDel="00000000" w:rsidR="00000000" w:rsidRPr="00000000">
        <w:rPr>
          <w:rFonts w:ascii="Calibri" w:cs="Calibri" w:eastAsia="Calibri" w:hAnsi="Calibri"/>
          <w:sz w:val="22"/>
          <w:szCs w:val="22"/>
          <w:rtl w:val="0"/>
        </w:rPr>
        <w:t xml:space="preserve">– refers to a person who has an emotional and/or sexual orientation towards more than one gender.</w:t>
      </w: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Bullying:</w:t>
      </w:r>
      <w:r w:rsidDel="00000000" w:rsidR="00000000" w:rsidRPr="00000000">
        <w:rPr>
          <w:rFonts w:ascii="Calibri" w:cs="Calibri" w:eastAsia="Calibri" w:hAnsi="Calibri"/>
          <w:sz w:val="22"/>
          <w:szCs w:val="22"/>
          <w:rtl w:val="0"/>
        </w:rPr>
        <w:t xml:space="preserve"> can involve any form of physical, emotional, sexual or discriminatory abuse. It can also include cyber-bullying – using social media or mobile phones to perpetrate bullying.</w:t>
      </w:r>
    </w:p>
    <w:p w:rsidR="00000000" w:rsidDel="00000000" w:rsidP="00000000" w:rsidRDefault="00000000" w:rsidRPr="00000000" w14:paraId="000000E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Direct discrimination:</w:t>
      </w:r>
      <w:r w:rsidDel="00000000" w:rsidR="00000000" w:rsidRPr="00000000">
        <w:rPr>
          <w:rFonts w:ascii="Calibri" w:cs="Calibri" w:eastAsia="Calibri" w:hAnsi="Calibri"/>
          <w:sz w:val="22"/>
          <w:szCs w:val="22"/>
          <w:rtl w:val="0"/>
        </w:rPr>
        <w:t xml:space="preserve"> treating someone less favourably than another person because of a protected characteristic.</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w:t>
      </w:r>
      <w:r w:rsidDel="00000000" w:rsidR="00000000" w:rsidRPr="00000000">
        <w:rPr>
          <w:rFonts w:ascii="Calibri" w:cs="Calibri" w:eastAsia="Calibri" w:hAnsi="Calibri"/>
          <w:sz w:val="22"/>
          <w:szCs w:val="22"/>
          <w:rtl w:val="0"/>
        </w:rPr>
        <w:t xml:space="preserve"> A person having a physical or mental impairment that has a substantial and long-term adverse effect on that person's ability to carry out normal day-to-day activities.</w:t>
      </w:r>
      <w:r w:rsidDel="00000000" w:rsidR="00000000" w:rsidRPr="00000000">
        <w:rPr>
          <w:rtl w:val="0"/>
        </w:rPr>
      </w:r>
    </w:p>
    <w:p w:rsidR="00000000" w:rsidDel="00000000" w:rsidP="00000000" w:rsidRDefault="00000000" w:rsidRPr="00000000" w14:paraId="000000F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w:t>
      </w:r>
      <w:r w:rsidDel="00000000" w:rsidR="00000000" w:rsidRPr="00000000">
        <w:rPr>
          <w:rFonts w:ascii="Calibri" w:cs="Calibri" w:eastAsia="Calibri" w:hAnsi="Calibri"/>
          <w:sz w:val="22"/>
          <w:szCs w:val="22"/>
          <w:rtl w:val="0"/>
        </w:rPr>
        <w:t xml:space="preserve"> treating someone in a less favourable way and causing them harm, because of their age, disability, gender reassignment, marriage or civil partnership, pregnancy or maternity, race, religion or belief, sex or sexual orientation.</w:t>
      </w:r>
    </w:p>
    <w:p w:rsidR="00000000" w:rsidDel="00000000" w:rsidP="00000000" w:rsidRDefault="00000000" w:rsidRPr="00000000" w14:paraId="000000F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 by association: </w:t>
      </w:r>
      <w:r w:rsidDel="00000000" w:rsidR="00000000" w:rsidRPr="00000000">
        <w:rPr>
          <w:rFonts w:ascii="Calibri" w:cs="Calibri" w:eastAsia="Calibri" w:hAnsi="Calibri"/>
          <w:sz w:val="22"/>
          <w:szCs w:val="22"/>
          <w:rtl w:val="0"/>
        </w:rPr>
        <w:t xml:space="preserve">discrimination against someone because they are associated with another person who possesses a protected characteristic.</w:t>
      </w:r>
    </w:p>
    <w:p w:rsidR="00000000" w:rsidDel="00000000" w:rsidP="00000000" w:rsidRDefault="00000000" w:rsidRPr="00000000" w14:paraId="000000F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 by perception:</w:t>
      </w:r>
      <w:r w:rsidDel="00000000" w:rsidR="00000000" w:rsidRPr="00000000">
        <w:rPr>
          <w:rFonts w:ascii="Calibri" w:cs="Calibri" w:eastAsia="Calibri" w:hAnsi="Calibri"/>
          <w:sz w:val="22"/>
          <w:szCs w:val="22"/>
          <w:rtl w:val="0"/>
        </w:rPr>
        <w:t xml:space="preserve"> discrimination against someone because of the belief that someone possesses a protected characteristic.</w:t>
      </w:r>
    </w:p>
    <w:p w:rsidR="00000000" w:rsidDel="00000000" w:rsidP="00000000" w:rsidRDefault="00000000" w:rsidRPr="00000000" w14:paraId="000000F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w:t>
      </w:r>
      <w:r w:rsidDel="00000000" w:rsidR="00000000" w:rsidRPr="00000000">
        <w:rPr>
          <w:rFonts w:ascii="Calibri" w:cs="Calibri" w:eastAsia="Calibri" w:hAnsi="Calibri"/>
          <w:sz w:val="22"/>
          <w:szCs w:val="22"/>
          <w:rtl w:val="0"/>
        </w:rPr>
        <w:t xml:space="preserve">acknowledging and celebrating the differences between groups of people and  between individuals</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F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Equality</w:t>
      </w:r>
      <w:r w:rsidDel="00000000" w:rsidR="00000000" w:rsidRPr="00000000">
        <w:rPr>
          <w:rFonts w:ascii="Calibri" w:cs="Calibri" w:eastAsia="Calibri" w:hAnsi="Calibri"/>
          <w:sz w:val="22"/>
          <w:szCs w:val="22"/>
          <w:rtl w:val="0"/>
        </w:rPr>
        <w:t xml:space="preserve">: treating everyone with fairness and respect and recognising and responding to the needs of individuals. Taking positive actions to address existing disadvantages and barriers affecting how people engage with and participate in tennis. </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Ethnicity</w:t>
      </w:r>
      <w:r w:rsidDel="00000000" w:rsidR="00000000" w:rsidRPr="00000000">
        <w:rPr>
          <w:rFonts w:ascii="Calibri" w:cs="Calibri" w:eastAsia="Calibri" w:hAnsi="Calibri"/>
          <w:sz w:val="22"/>
          <w:szCs w:val="22"/>
          <w:rtl w:val="0"/>
        </w:rPr>
        <w:t xml:space="preserve">: 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Gay</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Calibri" w:cs="Calibri" w:eastAsia="Calibri" w:hAnsi="Calibri"/>
          <w:sz w:val="22"/>
          <w:szCs w:val="22"/>
          <w:rtl w:val="0"/>
        </w:rPr>
        <w:t xml:space="preserve">refers to a man who has an emotional, romantic and/or sexual orientation towards men. Also, a generic term for lesbian and gay sexuality - some women define themselves as gay rather than lesbian.</w:t>
      </w:r>
    </w:p>
    <w:p w:rsidR="00000000" w:rsidDel="00000000" w:rsidP="00000000" w:rsidRDefault="00000000" w:rsidRPr="00000000" w14:paraId="0000010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Gender identity: t</w:t>
      </w:r>
      <w:r w:rsidDel="00000000" w:rsidR="00000000" w:rsidRPr="00000000">
        <w:rPr>
          <w:rFonts w:ascii="Calibri" w:cs="Calibri" w:eastAsia="Calibri" w:hAnsi="Calibri"/>
          <w:sz w:val="22"/>
          <w:szCs w:val="22"/>
          <w:rtl w:val="0"/>
        </w:rPr>
        <w:t xml:space="preserve">his is an individual’s internal self-perception of their own gender. A person may identify as a man, as a woman, as neither man or woman (non-binary) or as androgyne/polygender.</w:t>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Gender reassignment</w:t>
      </w:r>
      <w:r w:rsidDel="00000000" w:rsidR="00000000" w:rsidRPr="00000000">
        <w:rPr>
          <w:rFonts w:ascii="Calibri" w:cs="Calibri" w:eastAsia="Calibri" w:hAnsi="Calibri"/>
          <w:sz w:val="22"/>
          <w:szCs w:val="22"/>
          <w:rtl w:val="0"/>
        </w:rPr>
        <w:t xml:space="preserve">: The process of changing or transitioning from one gender to another.</w:t>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Harassment:</w:t>
      </w:r>
      <w:r w:rsidDel="00000000" w:rsidR="00000000" w:rsidRPr="00000000">
        <w:rPr>
          <w:rFonts w:ascii="Calibri" w:cs="Calibri" w:eastAsia="Calibri" w:hAnsi="Calibri"/>
          <w:sz w:val="22"/>
          <w:szCs w:val="22"/>
          <w:rtl w:val="0"/>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000000" w:rsidDel="00000000" w:rsidP="00000000" w:rsidRDefault="00000000" w:rsidRPr="00000000" w14:paraId="000001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Hate crime:</w:t>
      </w:r>
      <w:r w:rsidDel="00000000" w:rsidR="00000000" w:rsidRPr="00000000">
        <w:rPr>
          <w:rFonts w:ascii="Calibri" w:cs="Calibri" w:eastAsia="Calibri" w:hAnsi="Calibri"/>
          <w:b w:val="0"/>
          <w:i w:val="0"/>
          <w:smallCaps w:val="0"/>
          <w:strike w:val="0"/>
          <w:color w:val="494949"/>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crime that is targeted at a person because of hostility or prejudice towards that person’s disability, race or ethnicity, religion or belief, sexual orientation or transgender identity. This can be committed against a person or property. </w:t>
      </w:r>
    </w:p>
    <w:p w:rsidR="00000000" w:rsidDel="00000000" w:rsidP="00000000" w:rsidRDefault="00000000" w:rsidRPr="00000000" w14:paraId="000001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Homophobia</w:t>
      </w:r>
      <w:r w:rsidDel="00000000" w:rsidR="00000000" w:rsidRPr="00000000">
        <w:rPr>
          <w:rFonts w:ascii="Calibri" w:cs="Calibri" w:eastAsia="Calibri" w:hAnsi="Calibri"/>
          <w:sz w:val="22"/>
          <w:szCs w:val="22"/>
          <w:rtl w:val="0"/>
        </w:rPr>
        <w:t xml:space="preserve">: the fear, unreasonable anger, intolerance or/and hatred toward homosexuality, lesbian gay and bisexual people whether that person is homosexual or not.</w:t>
      </w:r>
    </w:p>
    <w:p w:rsidR="00000000" w:rsidDel="00000000" w:rsidP="00000000" w:rsidRDefault="00000000" w:rsidRPr="00000000" w14:paraId="000001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Inclusive leadership </w:t>
      </w:r>
      <w:r w:rsidDel="00000000" w:rsidR="00000000" w:rsidRPr="00000000">
        <w:rPr>
          <w:rFonts w:ascii="Calibri" w:cs="Calibri" w:eastAsia="Calibri" w:hAnsi="Calibri"/>
          <w:sz w:val="22"/>
          <w:szCs w:val="22"/>
          <w:rtl w:val="0"/>
        </w:rPr>
        <w:t xml:space="preserve">–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 Inclusive Leader</w:t>
      </w:r>
      <w:r w:rsidDel="00000000" w:rsidR="00000000" w:rsidRPr="00000000">
        <w:rPr>
          <w:rFonts w:ascii="Calibri" w:cs="Calibri" w:eastAsia="Calibri" w:hAnsi="Calibri"/>
          <w:sz w:val="22"/>
          <w:szCs w:val="22"/>
          <w:rtl w:val="0"/>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Inclusion: </w:t>
      </w:r>
      <w:r w:rsidDel="00000000" w:rsidR="00000000" w:rsidRPr="00000000">
        <w:rPr>
          <w:rFonts w:ascii="Calibri" w:cs="Calibri" w:eastAsia="Calibri" w:hAnsi="Calibri"/>
          <w:sz w:val="22"/>
          <w:szCs w:val="22"/>
          <w:rtl w:val="0"/>
        </w:rPr>
        <w:t xml:space="preserve">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r w:rsidDel="00000000" w:rsidR="00000000" w:rsidRPr="00000000">
        <w:rPr>
          <w:rtl w:val="0"/>
        </w:rPr>
      </w:r>
    </w:p>
    <w:p w:rsidR="00000000" w:rsidDel="00000000" w:rsidP="00000000" w:rsidRDefault="00000000" w:rsidRPr="00000000" w14:paraId="000001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Indirect discrimination: </w:t>
      </w:r>
      <w:r w:rsidDel="00000000" w:rsidR="00000000" w:rsidRPr="00000000">
        <w:rPr>
          <w:rFonts w:ascii="Calibri" w:cs="Calibri" w:eastAsia="Calibri" w:hAnsi="Calibri"/>
          <w:sz w:val="22"/>
          <w:szCs w:val="22"/>
          <w:rtl w:val="0"/>
        </w:rPr>
        <w:t xml:space="preserve">a practice, policy or rule which applies to everyone in the same way, but that has a worse effect on some people than others.</w:t>
      </w:r>
    </w:p>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LGBTQ: </w:t>
      </w:r>
      <w:r w:rsidDel="00000000" w:rsidR="00000000" w:rsidRPr="00000000">
        <w:rPr>
          <w:rFonts w:ascii="Calibri" w:cs="Calibri" w:eastAsia="Calibri" w:hAnsi="Calibri"/>
          <w:sz w:val="22"/>
          <w:szCs w:val="22"/>
          <w:rtl w:val="0"/>
        </w:rPr>
        <w:t xml:space="preserve">an acronym for Lesbian, Gay, Bisexual, Trans and Questioning.</w:t>
      </w:r>
    </w:p>
    <w:p w:rsidR="00000000" w:rsidDel="00000000" w:rsidP="00000000" w:rsidRDefault="00000000" w:rsidRPr="00000000" w14:paraId="000001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Lesbian</w:t>
      </w:r>
      <w:r w:rsidDel="00000000" w:rsidR="00000000" w:rsidRPr="00000000">
        <w:rPr>
          <w:rFonts w:ascii="Calibri" w:cs="Calibri" w:eastAsia="Calibri" w:hAnsi="Calibri"/>
          <w:sz w:val="22"/>
          <w:szCs w:val="22"/>
          <w:rtl w:val="0"/>
        </w:rPr>
        <w:t xml:space="preserve">: a woman who has an emotional romantic and /or sexual orientation towards women. </w:t>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Monitoring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equality</w:t>
      </w:r>
      <w:r w:rsidDel="00000000" w:rsidR="00000000" w:rsidRPr="00000000">
        <w:rPr>
          <w:rFonts w:ascii="Calibri" w:cs="Calibri" w:eastAsia="Calibri" w:hAnsi="Calibri"/>
          <w:sz w:val="22"/>
          <w:szCs w:val="22"/>
          <w:rtl w:val="0"/>
        </w:rPr>
        <w:t xml:space="preserve">: refers to data collection and analysis to check if people with protected characteristics are participating and being treated equally. For example: monitoring of the number of people with a disability who play tennis at our venue.</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Non-binary </w:t>
      </w:r>
      <w:r w:rsidDel="00000000" w:rsidR="00000000" w:rsidRPr="00000000">
        <w:rPr>
          <w:rFonts w:ascii="Calibri" w:cs="Calibri" w:eastAsia="Calibri" w:hAnsi="Calibri"/>
          <w:sz w:val="22"/>
          <w:szCs w:val="22"/>
          <w:rtl w:val="0"/>
        </w:rPr>
        <w:t xml:space="preserve">– an umbrella term for a person who does not identify as only male or only female, or who may identify as both.</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Positive action: </w:t>
      </w:r>
      <w:r w:rsidDel="00000000" w:rsidR="00000000" w:rsidRPr="00000000">
        <w:rPr>
          <w:rFonts w:ascii="Calibri" w:cs="Calibri" w:eastAsia="Calibri" w:hAnsi="Calibri"/>
          <w:sz w:val="22"/>
          <w:szCs w:val="22"/>
          <w:rtl w:val="0"/>
        </w:rPr>
        <w:t xml:space="preserve">a range of lawful actions that seek to overcome or minimise disadvantages (for example in employment opportunities) that people who share a protected characteristic have experienced, or to meet their different needs.</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Pregnancy and maternity</w:t>
      </w:r>
      <w:r w:rsidDel="00000000" w:rsidR="00000000" w:rsidRPr="00000000">
        <w:rPr>
          <w:rFonts w:ascii="Calibri" w:cs="Calibri" w:eastAsia="Calibri" w:hAnsi="Calibri"/>
          <w:sz w:val="22"/>
          <w:szCs w:val="22"/>
          <w:rtl w:val="0"/>
        </w:rPr>
        <w:t xml:space="preserve">: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000000" w:rsidDel="00000000" w:rsidP="00000000" w:rsidRDefault="00000000" w:rsidRPr="00000000" w14:paraId="000001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Questioning</w:t>
      </w:r>
      <w:r w:rsidDel="00000000" w:rsidR="00000000" w:rsidRPr="00000000">
        <w:rPr>
          <w:rFonts w:ascii="Calibri" w:cs="Calibri" w:eastAsia="Calibri" w:hAnsi="Calibri"/>
          <w:sz w:val="22"/>
          <w:szCs w:val="22"/>
          <w:rtl w:val="0"/>
        </w:rPr>
        <w:t xml:space="preserve">: it refers to the process of exploring your own sexual orientation and/or gender identity.</w:t>
      </w:r>
    </w:p>
    <w:p w:rsidR="00000000" w:rsidDel="00000000" w:rsidP="00000000" w:rsidRDefault="00000000" w:rsidRPr="00000000" w14:paraId="0000012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Race:</w:t>
      </w:r>
      <w:r w:rsidDel="00000000" w:rsidR="00000000" w:rsidRPr="00000000">
        <w:rPr>
          <w:rFonts w:ascii="Calibri" w:cs="Calibri" w:eastAsia="Calibri" w:hAnsi="Calibri"/>
          <w:sz w:val="22"/>
          <w:szCs w:val="22"/>
          <w:rtl w:val="0"/>
        </w:rPr>
        <w:t xml:space="preserve"> refers to the protected characteristic of race. It refers to a group of people defined by their race, colour, and nationality (including citizenship) ethnic or national origins. </w:t>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Radicalisation, extremism and terrorist behavior</w:t>
      </w:r>
      <w:r w:rsidDel="00000000" w:rsidR="00000000" w:rsidRPr="00000000">
        <w:rPr>
          <w:rFonts w:ascii="Calibri" w:cs="Calibri" w:eastAsia="Calibri" w:hAnsi="Calibri"/>
          <w:sz w:val="22"/>
          <w:szCs w:val="22"/>
          <w:rtl w:val="0"/>
        </w:rPr>
        <w:t xml:space="preserve">: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 people.</w:t>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Reasonable adjustment</w:t>
      </w:r>
      <w:r w:rsidDel="00000000" w:rsidR="00000000" w:rsidRPr="00000000">
        <w:rPr>
          <w:rFonts w:ascii="Calibri" w:cs="Calibri" w:eastAsia="Calibri" w:hAnsi="Calibri"/>
          <w:sz w:val="22"/>
          <w:szCs w:val="22"/>
          <w:rtl w:val="0"/>
        </w:rPr>
        <w:t xml:space="preserve">: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Religion or belief:</w:t>
      </w:r>
      <w:r w:rsidDel="00000000" w:rsidR="00000000" w:rsidRPr="00000000">
        <w:rPr>
          <w:rFonts w:ascii="Calibri" w:cs="Calibri" w:eastAsia="Calibri" w:hAnsi="Calibri"/>
          <w:sz w:val="22"/>
          <w:szCs w:val="22"/>
          <w:rtl w:val="0"/>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Sex:</w:t>
      </w:r>
      <w:r w:rsidDel="00000000" w:rsidR="00000000" w:rsidRPr="00000000">
        <w:rPr>
          <w:rFonts w:ascii="Calibri" w:cs="Calibri" w:eastAsia="Calibri" w:hAnsi="Calibri"/>
          <w:sz w:val="22"/>
          <w:szCs w:val="22"/>
          <w:rtl w:val="0"/>
        </w:rPr>
        <w:t xml:space="preserve"> refers to the biological makeup such as primary and secondary sexual characteristics, genes, and hormones. The legal sex is usually assigned at birth and has traditionally been understood as consisting of two mutually exclusive groups, namely men and women.</w:t>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Sexual orientation:</w:t>
      </w:r>
      <w:r w:rsidDel="00000000" w:rsidR="00000000" w:rsidRPr="00000000">
        <w:rPr>
          <w:rFonts w:ascii="Calibri" w:cs="Calibri" w:eastAsia="Calibri" w:hAnsi="Calibri"/>
          <w:sz w:val="22"/>
          <w:szCs w:val="22"/>
          <w:rtl w:val="0"/>
        </w:rPr>
        <w:t xml:space="preserve">  a person’s emotional, romantic and/or sexual attraction to another person.</w:t>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Trans: </w:t>
      </w:r>
      <w:r w:rsidDel="00000000" w:rsidR="00000000" w:rsidRPr="00000000">
        <w:rPr>
          <w:rFonts w:ascii="Calibri" w:cs="Calibri" w:eastAsia="Calibri" w:hAnsi="Calibri"/>
          <w:sz w:val="22"/>
          <w:szCs w:val="22"/>
          <w:rtl w:val="0"/>
        </w:rPr>
        <w:t xml:space="preserve">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000000" w:rsidDel="00000000" w:rsidP="00000000" w:rsidRDefault="00000000" w:rsidRPr="00000000" w14:paraId="000001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Transphobia</w:t>
      </w:r>
      <w:r w:rsidDel="00000000" w:rsidR="00000000" w:rsidRPr="00000000">
        <w:rPr>
          <w:rFonts w:ascii="Calibri" w:cs="Calibri" w:eastAsia="Calibri" w:hAnsi="Calibri"/>
          <w:sz w:val="22"/>
          <w:szCs w:val="22"/>
          <w:rtl w:val="0"/>
        </w:rPr>
        <w:t xml:space="preserve">: the fear, unreasonable anger, dislike, intolerance or/and hatred toward trans people, whether that person has undergone gender reassignment or is perceived to have done that.</w:t>
      </w:r>
      <w:r w:rsidDel="00000000" w:rsidR="00000000" w:rsidRPr="00000000">
        <w:rPr>
          <w:rtl w:val="0"/>
        </w:rPr>
      </w:r>
    </w:p>
    <w:p w:rsidR="00000000" w:rsidDel="00000000" w:rsidP="00000000" w:rsidRDefault="00000000" w:rsidRPr="00000000" w14:paraId="0000013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Transsexual Person:</w:t>
      </w:r>
      <w:r w:rsidDel="00000000" w:rsidR="00000000" w:rsidRPr="00000000">
        <w:rPr>
          <w:rFonts w:ascii="Calibri" w:cs="Calibri" w:eastAsia="Calibri" w:hAnsi="Calibri"/>
          <w:sz w:val="22"/>
          <w:szCs w:val="22"/>
          <w:rtl w:val="0"/>
        </w:rPr>
        <w:t xml:space="preserve"> someone who has started the process of changing their gender identity is undergoing or has undergone gender reassignment. </w:t>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Unconscious bias or implicit bias:</w:t>
      </w:r>
      <w:r w:rsidDel="00000000" w:rsidR="00000000" w:rsidRPr="00000000">
        <w:rPr>
          <w:rFonts w:ascii="Calibri" w:cs="Calibri" w:eastAsia="Calibri" w:hAnsi="Calibri"/>
          <w:sz w:val="22"/>
          <w:szCs w:val="22"/>
          <w:rtl w:val="0"/>
        </w:rPr>
        <w:t xml:space="preserve"> this refers 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Victimisation:</w:t>
      </w:r>
      <w:r w:rsidDel="00000000" w:rsidR="00000000" w:rsidRPr="00000000">
        <w:rPr>
          <w:rFonts w:ascii="Calibri" w:cs="Calibri" w:eastAsia="Calibri" w:hAnsi="Calibri"/>
          <w:sz w:val="22"/>
          <w:szCs w:val="22"/>
          <w:rtl w:val="0"/>
        </w:rPr>
        <w:t xml:space="preserve"> when someone is treated badly because they have made or supported a complaint or grievance.</w:t>
      </w:r>
    </w:p>
    <w:p w:rsidR="00000000" w:rsidDel="00000000" w:rsidP="00000000" w:rsidRDefault="00000000" w:rsidRPr="00000000" w14:paraId="00000136">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B:</w:t>
      </w:r>
    </w:p>
    <w:p w:rsidR="00000000" w:rsidDel="00000000" w:rsidP="00000000" w:rsidRDefault="00000000" w:rsidRPr="00000000" w14:paraId="0000013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Legislation</w:t>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Equality Act 2010</w:t>
      </w:r>
      <w:r w:rsidDel="00000000" w:rsidR="00000000" w:rsidRPr="00000000">
        <w:rPr>
          <w:rFonts w:ascii="Times New Roman" w:cs="Times New Roman" w:eastAsia="Times New Roman" w:hAnsi="Times New Roman"/>
          <w:b w:val="1"/>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against the law to discriminate against anyone because of:</w:t>
      </w:r>
    </w:p>
    <w:p w:rsidR="00000000" w:rsidDel="00000000" w:rsidP="00000000" w:rsidRDefault="00000000" w:rsidRPr="00000000" w14:paraId="0000013E">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w:t>
      </w:r>
    </w:p>
    <w:p w:rsidR="00000000" w:rsidDel="00000000" w:rsidP="00000000" w:rsidRDefault="00000000" w:rsidRPr="00000000" w14:paraId="0000013F">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or becoming a transsexual person</w:t>
      </w:r>
    </w:p>
    <w:p w:rsidR="00000000" w:rsidDel="00000000" w:rsidP="00000000" w:rsidRDefault="00000000" w:rsidRPr="00000000" w14:paraId="00000140">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married or in a civil partnership</w:t>
      </w:r>
    </w:p>
    <w:p w:rsidR="00000000" w:rsidDel="00000000" w:rsidP="00000000" w:rsidRDefault="00000000" w:rsidRPr="00000000" w14:paraId="00000141">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pregnant or on maternity leave</w:t>
      </w:r>
    </w:p>
    <w:p w:rsidR="00000000" w:rsidDel="00000000" w:rsidP="00000000" w:rsidRDefault="00000000" w:rsidRPr="00000000" w14:paraId="00000142">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disability</w:t>
      </w:r>
    </w:p>
    <w:p w:rsidR="00000000" w:rsidDel="00000000" w:rsidP="00000000" w:rsidRDefault="00000000" w:rsidRPr="00000000" w14:paraId="00000143">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race including colour, nationality, ethnic or national origin</w:t>
      </w:r>
    </w:p>
    <w:p w:rsidR="00000000" w:rsidDel="00000000" w:rsidP="00000000" w:rsidRDefault="00000000" w:rsidRPr="00000000" w14:paraId="00000144">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religion, belief or lack of religion/belief</w:t>
      </w:r>
    </w:p>
    <w:p w:rsidR="00000000" w:rsidDel="00000000" w:rsidP="00000000" w:rsidRDefault="00000000" w:rsidRPr="00000000" w14:paraId="00000145">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w:t>
      </w:r>
    </w:p>
    <w:p w:rsidR="00000000" w:rsidDel="00000000" w:rsidP="00000000" w:rsidRDefault="00000000" w:rsidRPr="00000000" w14:paraId="00000146">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sexual orientation</w:t>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are called ‘protected characteristics’.</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are protected from discrimination:</w:t>
      </w:r>
    </w:p>
    <w:p w:rsidR="00000000" w:rsidDel="00000000" w:rsidP="00000000" w:rsidRDefault="00000000" w:rsidRPr="00000000" w14:paraId="0000014A">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work</w:t>
      </w:r>
    </w:p>
    <w:p w:rsidR="00000000" w:rsidDel="00000000" w:rsidP="00000000" w:rsidRDefault="00000000" w:rsidRPr="00000000" w14:paraId="0000014B">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education</w:t>
      </w:r>
    </w:p>
    <w:p w:rsidR="00000000" w:rsidDel="00000000" w:rsidP="00000000" w:rsidRDefault="00000000" w:rsidRPr="00000000" w14:paraId="0000014C">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consumer</w:t>
      </w:r>
    </w:p>
    <w:p w:rsidR="00000000" w:rsidDel="00000000" w:rsidP="00000000" w:rsidRDefault="00000000" w:rsidRPr="00000000" w14:paraId="0000014D">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using public services</w:t>
      </w:r>
    </w:p>
    <w:p w:rsidR="00000000" w:rsidDel="00000000" w:rsidP="00000000" w:rsidRDefault="00000000" w:rsidRPr="00000000" w14:paraId="0000014E">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buying or renting property</w:t>
      </w:r>
    </w:p>
    <w:p w:rsidR="00000000" w:rsidDel="00000000" w:rsidP="00000000" w:rsidRDefault="00000000" w:rsidRPr="00000000" w14:paraId="0000014F">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member or guest of a private club or association</w:t>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are also protected from discrimination if:</w:t>
      </w:r>
    </w:p>
    <w:p w:rsidR="00000000" w:rsidDel="00000000" w:rsidP="00000000" w:rsidRDefault="00000000" w:rsidRPr="00000000" w14:paraId="00000152">
      <w:pPr>
        <w:numPr>
          <w:ilvl w:val="0"/>
          <w:numId w:val="1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are associated with someone who has a protected characteristic, e.g. a family member or friend</w:t>
      </w:r>
    </w:p>
    <w:p w:rsidR="00000000" w:rsidDel="00000000" w:rsidP="00000000" w:rsidRDefault="00000000" w:rsidRPr="00000000" w14:paraId="00000153">
      <w:pPr>
        <w:numPr>
          <w:ilvl w:val="0"/>
          <w:numId w:val="1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complained about discrimination or supported someone else’s claim</w:t>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Discrimination can come in one of the following forms:</w:t>
      </w:r>
    </w:p>
    <w:p w:rsidR="00000000" w:rsidDel="00000000" w:rsidP="00000000" w:rsidRDefault="00000000" w:rsidRPr="00000000" w14:paraId="00000156">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 discrimination - treating someone with a protected characteristic less favourably than others.</w:t>
      </w:r>
    </w:p>
    <w:p w:rsidR="00000000" w:rsidDel="00000000" w:rsidP="00000000" w:rsidRDefault="00000000" w:rsidRPr="00000000" w14:paraId="00000157">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indirect discrimination - putting rules or arrangements in place that apply to everyone, but that put someone with a protected characteristic at an unfair disadvantage.</w:t>
      </w:r>
    </w:p>
    <w:p w:rsidR="00000000" w:rsidDel="00000000" w:rsidP="00000000" w:rsidRDefault="00000000" w:rsidRPr="00000000" w14:paraId="00000158">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harassment - unwanted behaviour linked to a protected characteristic that violates someone’s dignity or creates an offensive environment for them.</w:t>
      </w:r>
    </w:p>
    <w:p w:rsidR="00000000" w:rsidDel="00000000" w:rsidP="00000000" w:rsidRDefault="00000000" w:rsidRPr="00000000" w14:paraId="00000159">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victimisation - treating someone unfairly because they’ve complained about discrimination or harassment.</w:t>
      </w:r>
    </w:p>
    <w:p w:rsidR="00000000" w:rsidDel="00000000" w:rsidP="00000000" w:rsidRDefault="00000000" w:rsidRPr="00000000" w14:paraId="0000015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sz w:val="22"/>
          <w:szCs w:val="22"/>
        </w:rPr>
      </w:pPr>
      <w:r w:rsidDel="00000000" w:rsidR="00000000" w:rsidRPr="00000000">
        <w:rPr>
          <w:rtl w:val="0"/>
        </w:rPr>
      </w:r>
    </w:p>
    <w:sectPr>
      <w:footerReference r:id="rId17" w:type="default"/>
      <w:footerReference r:id="rId18" w:type="first"/>
      <w:pgSz w:h="15840" w:w="12240" w:orient="portrait"/>
      <w:pgMar w:bottom="1440" w:top="851" w:left="993" w:right="758"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Diversity and Inclusion Policy and Concern Reporting Procedure</w:t>
      <w:tab/>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Last Updated: September 20</w:t>
    </w:r>
    <w:r w:rsidDel="00000000" w:rsidR="00000000" w:rsidRPr="00000000">
      <w:rPr>
        <w:rFonts w:ascii="Calibri" w:cs="Calibri" w:eastAsia="Calibri" w:hAnsi="Calibri"/>
        <w:sz w:val="20"/>
        <w:szCs w:val="20"/>
        <w:rtl w:val="0"/>
      </w:rPr>
      <w:t xml:space="preserve">23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Next Review: September 20</w:t>
    </w:r>
    <w:r w:rsidDel="00000000" w:rsidR="00000000" w:rsidRPr="00000000">
      <w:rPr>
        <w:rFonts w:ascii="Calibri" w:cs="Calibri" w:eastAsia="Calibri" w:hAnsi="Calibri"/>
        <w:sz w:val="20"/>
        <w:szCs w:val="20"/>
        <w:rtl w:val="0"/>
      </w:rPr>
      <w:t xml:space="preserve">25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 earlier if there is a change in legislation)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http://www.legislation.gov.uk/ukpga/2010/15/contents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0"/>
      <w:numFmt w:val="bullet"/>
      <w:lvlText w:val="•"/>
      <w:lvlJc w:val="left"/>
      <w:pPr>
        <w:ind w:left="1080" w:hanging="360"/>
      </w:pPr>
      <w:rPr>
        <w:rFonts w:ascii="Calibri" w:cs="Calibri" w:eastAsia="Calibri" w:hAnsi="Calibri"/>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4">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5">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Pr>
    <w:rPr>
      <w:rFonts w:ascii="Arial" w:cs="Arial" w:eastAsia="Arial" w:hAnsi="Arial"/>
      <w:b w:val="1"/>
      <w:color w:val="86b0be"/>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eport-it.org.uk" TargetMode="External"/><Relationship Id="rId10" Type="http://schemas.openxmlformats.org/officeDocument/2006/relationships/image" Target="media/image5.png"/><Relationship Id="rId13" Type="http://schemas.openxmlformats.org/officeDocument/2006/relationships/hyperlink" Target="https://www.lta.org.uk/about-the-lta/policies-and-rules/safeguarding-protection/"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15" Type="http://schemas.openxmlformats.org/officeDocument/2006/relationships/hyperlink" Target="mailto:safeguarding@lta.org.uk" TargetMode="External"/><Relationship Id="rId14" Type="http://schemas.openxmlformats.org/officeDocument/2006/relationships/hyperlink" Target="mailto:safeguarding@lta.org.uk" TargetMode="External"/><Relationship Id="rId17" Type="http://schemas.openxmlformats.org/officeDocument/2006/relationships/footer" Target="footer2.xml"/><Relationship Id="rId16"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